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3AE" w:rsidRDefault="008E43AE" w:rsidP="008E43AE">
      <w:pPr>
        <w:pStyle w:val="Heading2"/>
        <w:rPr>
          <w:rFonts w:eastAsia="Times New Roman"/>
        </w:rPr>
      </w:pPr>
      <w:r>
        <w:rPr>
          <w:rFonts w:eastAsia="Times New Roman"/>
        </w:rPr>
        <w:t>Region 10 Response Team Record of Dispersant Decision</w:t>
      </w:r>
    </w:p>
    <w:p w:rsidR="008E43AE" w:rsidRDefault="008E43AE" w:rsidP="008E43AE"/>
    <w:p w:rsidR="008E43AE" w:rsidRDefault="008E43AE" w:rsidP="008E43AE">
      <w:pPr>
        <w:rPr>
          <w:b/>
          <w:bCs/>
        </w:rPr>
      </w:pPr>
      <w:r>
        <w:rPr>
          <w:b/>
          <w:bCs/>
        </w:rPr>
        <w:t>Incident Name and Location:</w:t>
      </w:r>
    </w:p>
    <w:p w:rsidR="008E43AE" w:rsidRDefault="008E43AE" w:rsidP="008E43AE">
      <w:pPr>
        <w:rPr>
          <w:b/>
          <w:bCs/>
        </w:rPr>
      </w:pPr>
    </w:p>
    <w:p w:rsidR="008E43AE" w:rsidRDefault="008E43AE" w:rsidP="008E43AE">
      <w:pPr>
        <w:rPr>
          <w:b/>
          <w:bCs/>
        </w:rPr>
      </w:pPr>
      <w:r>
        <w:rPr>
          <w:b/>
          <w:bCs/>
        </w:rPr>
        <w:t>Date and time of RRT 10 consultation:</w:t>
      </w:r>
    </w:p>
    <w:p w:rsidR="008E43AE" w:rsidRDefault="008E43AE" w:rsidP="008E43AE">
      <w:pPr>
        <w:rPr>
          <w:b/>
          <w:bCs/>
        </w:rPr>
      </w:pPr>
    </w:p>
    <w:p w:rsidR="008E43AE" w:rsidRDefault="008E43AE" w:rsidP="008E43AE"/>
    <w:p w:rsidR="008E43AE" w:rsidRDefault="008E43AE" w:rsidP="008E43AE">
      <w:r>
        <w:t>In accordance with Subpart J of the National Contingency Plan (NCP), RRT 10 has addressed the desirability of using appropriate dispersants through the area planning process and has established Pre-Approval Zones, Case-by-Case Approval Zones, and No Use Zones for the use of dispersants. It is RRT 10 policy that any dispersant use within a Case-by-Case Approval Zone requires concurrence from the EPA and state representatives to the RRT with jurisdiction over the waters threatened by the release or discharge. The decision to use dispersants in a Case-by-Case Approval Zone must be made in consultation with the United States Department of Commerce and United States Department of the Interior representatives to the RRT and tribal governments with off-reservation treaty rights in the navigable waters threatened by a release or discharge of oil.</w:t>
      </w:r>
    </w:p>
    <w:p w:rsidR="008E43AE" w:rsidRDefault="008E43AE" w:rsidP="008E43AE"/>
    <w:p w:rsidR="008E43AE" w:rsidRDefault="008E43AE" w:rsidP="008E43AE">
      <w:r>
        <w:t>For purposes of this record of decision, the designated FOSC has completed a Dispersant Decision Memo (attached), formally recommends the use/recommends against the use of dispersants and requests a dispersant use decision from the appropriate members of RRT 10.</w:t>
      </w:r>
    </w:p>
    <w:p w:rsidR="008E43AE" w:rsidRDefault="008E43AE" w:rsidP="008E43AE"/>
    <w:p w:rsidR="008E43AE" w:rsidRDefault="008E43AE" w:rsidP="008E43AE">
      <w:r>
        <w:t>RRT 10 was convened on this date with these agencies in attendance:</w:t>
      </w:r>
    </w:p>
    <w:p w:rsidR="008E43AE" w:rsidRDefault="008E43AE" w:rsidP="008E43AE">
      <w:pPr>
        <w:numPr>
          <w:ilvl w:val="0"/>
          <w:numId w:val="1"/>
        </w:numPr>
        <w:spacing w:before="120"/>
        <w:ind w:left="720"/>
        <w:rPr>
          <w:i/>
          <w:iCs/>
        </w:rPr>
      </w:pPr>
      <w:r>
        <w:rPr>
          <w:i/>
          <w:iCs/>
        </w:rPr>
        <w:t>List all agencies and state whether decision makers or monitoring role.</w:t>
      </w:r>
    </w:p>
    <w:p w:rsidR="008E43AE" w:rsidRDefault="008E43AE" w:rsidP="008E43AE">
      <w:pPr>
        <w:spacing w:before="120"/>
        <w:ind w:left="720"/>
        <w:rPr>
          <w:i/>
          <w:iCs/>
        </w:rPr>
      </w:pPr>
    </w:p>
    <w:p w:rsidR="008E43AE" w:rsidRDefault="008E43AE" w:rsidP="008E43AE">
      <w:r>
        <w:rPr>
          <w:noProof/>
        </w:rPr>
        <mc:AlternateContent>
          <mc:Choice Requires="wps">
            <w:drawing>
              <wp:inline distT="0" distB="0" distL="0" distR="0" wp14:anchorId="51A70AAB" wp14:editId="1051196A">
                <wp:extent cx="6918960" cy="2796540"/>
                <wp:effectExtent l="0" t="0" r="15240" b="228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960" cy="2796540"/>
                        </a:xfrm>
                        <a:prstGeom prst="rect">
                          <a:avLst/>
                        </a:prstGeom>
                        <a:solidFill>
                          <a:srgbClr val="FFFFFF"/>
                        </a:solidFill>
                        <a:ln w="9525">
                          <a:solidFill>
                            <a:srgbClr val="000000"/>
                          </a:solidFill>
                          <a:miter lim="800000"/>
                          <a:headEnd/>
                          <a:tailEnd/>
                        </a:ln>
                      </wps:spPr>
                      <wps:txbx>
                        <w:txbxContent>
                          <w:p w:rsidR="008E43AE" w:rsidRDefault="008E43AE" w:rsidP="008E43AE"/>
                        </w:txbxContent>
                      </wps:txbx>
                      <wps:bodyPr rot="0" vert="horz" wrap="square" lIns="91440" tIns="45720" rIns="91440" bIns="45720" anchor="t" anchorCtr="0">
                        <a:noAutofit/>
                      </wps:bodyPr>
                    </wps:wsp>
                  </a:graphicData>
                </a:graphic>
              </wp:inline>
            </w:drawing>
          </mc:Choice>
          <mc:Fallback>
            <w:pict>
              <v:shapetype w14:anchorId="51A70AAB" id="_x0000_t202" coordsize="21600,21600" o:spt="202" path="m,l,21600r21600,l21600,xe">
                <v:stroke joinstyle="miter"/>
                <v:path gradientshapeok="t" o:connecttype="rect"/>
              </v:shapetype>
              <v:shape id="Text Box 2" o:spid="_x0000_s1026" type="#_x0000_t202" style="width:544.8pt;height:22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">
                <v:textbox>
                  <w:txbxContent>
                    <w:p w:rsidR="008E43AE" w:rsidRDefault="008E43AE" w:rsidP="008E43AE"/>
                  </w:txbxContent>
                </v:textbox>
                <w10:anchorlock/>
              </v:shape>
            </w:pict>
          </mc:Fallback>
        </mc:AlternateContent>
      </w:r>
    </w:p>
    <w:p w:rsidR="008E43AE" w:rsidRDefault="008E43AE" w:rsidP="008E43AE"/>
    <w:p w:rsidR="008E43AE" w:rsidRDefault="008E43AE" w:rsidP="008E43AE"/>
    <w:p w:rsidR="008E43AE" w:rsidRDefault="008E43AE" w:rsidP="008E43AE">
      <w:bookmarkStart w:id="0" w:name="_GoBack"/>
      <w:bookmarkEnd w:id="0"/>
      <w:r>
        <w:t xml:space="preserve">The following decision(s) was made (Note: the RRT should add any pertinent rationale for the decision):  </w:t>
      </w:r>
    </w:p>
    <w:p w:rsidR="008E43AE" w:rsidRDefault="008E43AE" w:rsidP="008E43AE">
      <w:pPr>
        <w:numPr>
          <w:ilvl w:val="1"/>
          <w:numId w:val="2"/>
        </w:numPr>
        <w:spacing w:before="120"/>
        <w:ind w:left="720"/>
      </w:pPr>
      <w:r>
        <w:t>RRT 10 does not concur with the use of dispersants for this incident.</w:t>
      </w:r>
    </w:p>
    <w:p w:rsidR="008E43AE" w:rsidRDefault="008E43AE" w:rsidP="008E43AE">
      <w:pPr>
        <w:numPr>
          <w:ilvl w:val="1"/>
          <w:numId w:val="2"/>
        </w:numPr>
        <w:spacing w:before="120"/>
        <w:ind w:left="720"/>
      </w:pPr>
      <w:r>
        <w:t>RRT 10 concurs with the use of dispersants as outlined in the attached plan.</w:t>
      </w:r>
    </w:p>
    <w:p w:rsidR="008E43AE" w:rsidRDefault="008E43AE" w:rsidP="008E43AE">
      <w:pPr>
        <w:numPr>
          <w:ilvl w:val="1"/>
          <w:numId w:val="2"/>
        </w:numPr>
        <w:spacing w:before="120"/>
        <w:ind w:left="720"/>
      </w:pPr>
      <w:r>
        <w:t>RRT 10 concurs with the use of dispersants with the following modifications to the dispersant plan:</w:t>
      </w:r>
    </w:p>
    <w:p w:rsidR="008E43AE" w:rsidRDefault="008E43AE" w:rsidP="008E43AE">
      <w:r>
        <w:rPr>
          <w:rFonts w:eastAsia="Times New Roman"/>
        </w:rPr>
        <w:br w:type="page"/>
      </w:r>
    </w:p>
    <w:p w:rsidR="008E43AE" w:rsidRDefault="008E43AE" w:rsidP="008E43AE">
      <w:pPr>
        <w:rPr>
          <w:b/>
          <w:bCs/>
        </w:rPr>
      </w:pPr>
      <w:r>
        <w:rPr>
          <w:b/>
          <w:bCs/>
        </w:rPr>
        <w:lastRenderedPageBreak/>
        <w:t>Regional Response Team10 Signature Page</w:t>
      </w:r>
    </w:p>
    <w:p w:rsidR="008E43AE" w:rsidRDefault="008E43AE" w:rsidP="008E43AE">
      <w:pPr>
        <w:rPr>
          <w:b/>
          <w:bCs/>
        </w:rPr>
      </w:pPr>
    </w:p>
    <w:p w:rsidR="008E43AE" w:rsidRDefault="008E43AE" w:rsidP="008E43AE">
      <w:pPr>
        <w:rPr>
          <w:b/>
          <w:bCs/>
        </w:rPr>
      </w:pPr>
      <w:r>
        <w:rPr>
          <w:b/>
          <w:bCs/>
        </w:rPr>
        <w:t>Signatures will be obtained once the decision is made. This document will be retained to record the decision.</w:t>
      </w:r>
    </w:p>
    <w:p w:rsidR="008E43AE" w:rsidRDefault="008E43AE" w:rsidP="008E43AE"/>
    <w:tbl>
      <w:tblPr>
        <w:tblW w:w="5000" w:type="pct"/>
        <w:tblCellMar>
          <w:left w:w="0" w:type="dxa"/>
          <w:right w:w="0" w:type="dxa"/>
        </w:tblCellMar>
        <w:tblLook w:val="04A0" w:firstRow="1" w:lastRow="0" w:firstColumn="1" w:lastColumn="0" w:noHBand="0" w:noVBand="1"/>
      </w:tblPr>
      <w:tblGrid>
        <w:gridCol w:w="2881"/>
        <w:gridCol w:w="3792"/>
        <w:gridCol w:w="4107"/>
      </w:tblGrid>
      <w:tr w:rsidR="008E43AE" w:rsidTr="008E43AE">
        <w:trPr>
          <w:trHeight w:val="332"/>
        </w:trPr>
        <w:tc>
          <w:tcPr>
            <w:tcW w:w="1336" w:type="pct"/>
            <w:tcBorders>
              <w:top w:val="single" w:sz="8" w:space="0" w:color="008080"/>
              <w:left w:val="single" w:sz="8" w:space="0" w:color="008080"/>
              <w:bottom w:val="single" w:sz="8" w:space="0" w:color="008080"/>
              <w:right w:val="single" w:sz="8" w:space="0" w:color="008080"/>
            </w:tcBorders>
            <w:shd w:val="clear" w:color="auto" w:fill="008080"/>
            <w:tcMar>
              <w:top w:w="0" w:type="dxa"/>
              <w:left w:w="108" w:type="dxa"/>
              <w:bottom w:w="0" w:type="dxa"/>
              <w:right w:w="108" w:type="dxa"/>
            </w:tcMar>
          </w:tcPr>
          <w:p w:rsidR="008E43AE" w:rsidRDefault="008E43AE">
            <w:pPr>
              <w:rPr>
                <w:b/>
                <w:bCs/>
                <w:color w:val="FFFFFF"/>
              </w:rPr>
            </w:pPr>
          </w:p>
        </w:tc>
        <w:tc>
          <w:tcPr>
            <w:tcW w:w="1759" w:type="pct"/>
            <w:tcBorders>
              <w:top w:val="single" w:sz="8" w:space="0" w:color="008080"/>
              <w:left w:val="nil"/>
              <w:bottom w:val="single" w:sz="8" w:space="0" w:color="008080"/>
              <w:right w:val="single" w:sz="8" w:space="0" w:color="008080"/>
            </w:tcBorders>
            <w:shd w:val="clear" w:color="auto" w:fill="008080"/>
            <w:tcMar>
              <w:top w:w="0" w:type="dxa"/>
              <w:left w:w="108" w:type="dxa"/>
              <w:bottom w:w="0" w:type="dxa"/>
              <w:right w:w="108" w:type="dxa"/>
            </w:tcMar>
            <w:hideMark/>
          </w:tcPr>
          <w:p w:rsidR="008E43AE" w:rsidRDefault="008E43AE">
            <w:pPr>
              <w:jc w:val="center"/>
              <w:rPr>
                <w:rFonts w:ascii="Arial" w:hAnsi="Arial" w:cs="Arial"/>
                <w:b/>
                <w:bCs/>
                <w:color w:val="FFFFFF"/>
              </w:rPr>
            </w:pPr>
            <w:r>
              <w:rPr>
                <w:rFonts w:ascii="Arial" w:hAnsi="Arial" w:cs="Arial"/>
                <w:b/>
                <w:bCs/>
                <w:color w:val="FFFFFF"/>
              </w:rPr>
              <w:t>Signature</w:t>
            </w:r>
          </w:p>
        </w:tc>
        <w:tc>
          <w:tcPr>
            <w:tcW w:w="1905" w:type="pct"/>
            <w:tcBorders>
              <w:top w:val="single" w:sz="8" w:space="0" w:color="008080"/>
              <w:left w:val="nil"/>
              <w:bottom w:val="single" w:sz="8" w:space="0" w:color="008080"/>
              <w:right w:val="single" w:sz="8" w:space="0" w:color="008080"/>
            </w:tcBorders>
            <w:shd w:val="clear" w:color="auto" w:fill="008080"/>
            <w:tcMar>
              <w:top w:w="0" w:type="dxa"/>
              <w:left w:w="108" w:type="dxa"/>
              <w:bottom w:w="0" w:type="dxa"/>
              <w:right w:w="108" w:type="dxa"/>
            </w:tcMar>
            <w:hideMark/>
          </w:tcPr>
          <w:p w:rsidR="008E43AE" w:rsidRDefault="008E43AE">
            <w:pPr>
              <w:jc w:val="center"/>
              <w:rPr>
                <w:rFonts w:ascii="Arial" w:hAnsi="Arial" w:cs="Arial"/>
                <w:b/>
                <w:bCs/>
                <w:color w:val="FFFFFF"/>
              </w:rPr>
            </w:pPr>
            <w:r>
              <w:rPr>
                <w:rFonts w:ascii="Arial" w:hAnsi="Arial" w:cs="Arial"/>
                <w:b/>
                <w:bCs/>
                <w:color w:val="FFFFFF"/>
              </w:rPr>
              <w:t>Name and Title (Print)</w:t>
            </w:r>
          </w:p>
        </w:tc>
      </w:tr>
      <w:tr w:rsidR="008E43AE" w:rsidTr="008E43AE">
        <w:trPr>
          <w:trHeight w:val="328"/>
        </w:trPr>
        <w:tc>
          <w:tcPr>
            <w:tcW w:w="1336" w:type="pct"/>
            <w:tcBorders>
              <w:top w:val="nil"/>
              <w:left w:val="single" w:sz="8" w:space="0" w:color="008080"/>
              <w:bottom w:val="single" w:sz="8" w:space="0" w:color="008080"/>
              <w:right w:val="single" w:sz="8" w:space="0" w:color="008080"/>
            </w:tcBorders>
            <w:tcMar>
              <w:top w:w="0" w:type="dxa"/>
              <w:left w:w="108" w:type="dxa"/>
              <w:bottom w:w="0" w:type="dxa"/>
              <w:right w:w="108" w:type="dxa"/>
            </w:tcMar>
          </w:tcPr>
          <w:p w:rsidR="008E43AE" w:rsidRDefault="008E43AE">
            <w:r>
              <w:t>EPA Co-Chair</w:t>
            </w:r>
          </w:p>
          <w:p w:rsidR="008E43AE" w:rsidRDefault="008E43AE">
            <w:r>
              <w:t>(Concurrence)</w:t>
            </w:r>
          </w:p>
          <w:p w:rsidR="008E43AE" w:rsidRDefault="008E43AE"/>
          <w:p w:rsidR="008E43AE" w:rsidRDefault="008E43AE"/>
        </w:tc>
        <w:tc>
          <w:tcPr>
            <w:tcW w:w="1759" w:type="pct"/>
            <w:tcBorders>
              <w:top w:val="nil"/>
              <w:left w:val="nil"/>
              <w:bottom w:val="single" w:sz="8" w:space="0" w:color="008080"/>
              <w:right w:val="single" w:sz="8" w:space="0" w:color="008080"/>
            </w:tcBorders>
            <w:tcMar>
              <w:top w:w="0" w:type="dxa"/>
              <w:left w:w="108" w:type="dxa"/>
              <w:bottom w:w="0" w:type="dxa"/>
              <w:right w:w="108" w:type="dxa"/>
            </w:tcMar>
          </w:tcPr>
          <w:p w:rsidR="008E43AE" w:rsidRDefault="008E43AE"/>
        </w:tc>
        <w:tc>
          <w:tcPr>
            <w:tcW w:w="1905" w:type="pct"/>
            <w:tcBorders>
              <w:top w:val="nil"/>
              <w:left w:val="nil"/>
              <w:bottom w:val="single" w:sz="8" w:space="0" w:color="008080"/>
              <w:right w:val="single" w:sz="8" w:space="0" w:color="008080"/>
            </w:tcBorders>
            <w:tcMar>
              <w:top w:w="0" w:type="dxa"/>
              <w:left w:w="108" w:type="dxa"/>
              <w:bottom w:w="0" w:type="dxa"/>
              <w:right w:w="108" w:type="dxa"/>
            </w:tcMar>
          </w:tcPr>
          <w:p w:rsidR="008E43AE" w:rsidRDefault="008E43AE"/>
        </w:tc>
      </w:tr>
      <w:tr w:rsidR="008E43AE" w:rsidTr="008E43AE">
        <w:trPr>
          <w:trHeight w:val="328"/>
        </w:trPr>
        <w:tc>
          <w:tcPr>
            <w:tcW w:w="1336" w:type="pct"/>
            <w:tcBorders>
              <w:top w:val="nil"/>
              <w:left w:val="single" w:sz="8" w:space="0" w:color="008080"/>
              <w:bottom w:val="single" w:sz="8" w:space="0" w:color="008080"/>
              <w:right w:val="single" w:sz="8" w:space="0" w:color="008080"/>
            </w:tcBorders>
            <w:tcMar>
              <w:top w:w="0" w:type="dxa"/>
              <w:left w:w="108" w:type="dxa"/>
              <w:bottom w:w="0" w:type="dxa"/>
              <w:right w:w="108" w:type="dxa"/>
            </w:tcMar>
          </w:tcPr>
          <w:p w:rsidR="008E43AE" w:rsidRDefault="008E43AE">
            <w:r>
              <w:t>State Representative to the RRT</w:t>
            </w:r>
          </w:p>
          <w:p w:rsidR="008E43AE" w:rsidRDefault="008E43AE">
            <w:r>
              <w:t>(Concurrence)</w:t>
            </w:r>
          </w:p>
          <w:p w:rsidR="008E43AE" w:rsidRDefault="008E43AE"/>
        </w:tc>
        <w:tc>
          <w:tcPr>
            <w:tcW w:w="1759" w:type="pct"/>
            <w:tcBorders>
              <w:top w:val="nil"/>
              <w:left w:val="nil"/>
              <w:bottom w:val="single" w:sz="8" w:space="0" w:color="008080"/>
              <w:right w:val="single" w:sz="8" w:space="0" w:color="008080"/>
            </w:tcBorders>
            <w:tcMar>
              <w:top w:w="0" w:type="dxa"/>
              <w:left w:w="108" w:type="dxa"/>
              <w:bottom w:w="0" w:type="dxa"/>
              <w:right w:w="108" w:type="dxa"/>
            </w:tcMar>
          </w:tcPr>
          <w:p w:rsidR="008E43AE" w:rsidRDefault="008E43AE"/>
        </w:tc>
        <w:tc>
          <w:tcPr>
            <w:tcW w:w="1905" w:type="pct"/>
            <w:tcBorders>
              <w:top w:val="nil"/>
              <w:left w:val="nil"/>
              <w:bottom w:val="single" w:sz="8" w:space="0" w:color="008080"/>
              <w:right w:val="single" w:sz="8" w:space="0" w:color="008080"/>
            </w:tcBorders>
            <w:tcMar>
              <w:top w:w="0" w:type="dxa"/>
              <w:left w:w="108" w:type="dxa"/>
              <w:bottom w:w="0" w:type="dxa"/>
              <w:right w:w="108" w:type="dxa"/>
            </w:tcMar>
          </w:tcPr>
          <w:p w:rsidR="008E43AE" w:rsidRDefault="008E43AE"/>
        </w:tc>
      </w:tr>
      <w:tr w:rsidR="008E43AE" w:rsidTr="008E43AE">
        <w:trPr>
          <w:trHeight w:val="328"/>
        </w:trPr>
        <w:tc>
          <w:tcPr>
            <w:tcW w:w="1336" w:type="pct"/>
            <w:tcBorders>
              <w:top w:val="nil"/>
              <w:left w:val="single" w:sz="8" w:space="0" w:color="008080"/>
              <w:bottom w:val="single" w:sz="8" w:space="0" w:color="008080"/>
              <w:right w:val="single" w:sz="8" w:space="0" w:color="008080"/>
            </w:tcBorders>
            <w:tcMar>
              <w:top w:w="0" w:type="dxa"/>
              <w:left w:w="108" w:type="dxa"/>
              <w:bottom w:w="0" w:type="dxa"/>
              <w:right w:w="108" w:type="dxa"/>
            </w:tcMar>
          </w:tcPr>
          <w:p w:rsidR="008E43AE" w:rsidRDefault="008E43AE">
            <w:r>
              <w:t>Department of the Interior</w:t>
            </w:r>
          </w:p>
          <w:p w:rsidR="008E43AE" w:rsidRDefault="008E43AE">
            <w:r>
              <w:t>(Consultation)</w:t>
            </w:r>
          </w:p>
          <w:p w:rsidR="008E43AE" w:rsidRDefault="008E43AE"/>
          <w:p w:rsidR="008E43AE" w:rsidRDefault="008E43AE"/>
        </w:tc>
        <w:tc>
          <w:tcPr>
            <w:tcW w:w="1759" w:type="pct"/>
            <w:tcBorders>
              <w:top w:val="nil"/>
              <w:left w:val="nil"/>
              <w:bottom w:val="single" w:sz="8" w:space="0" w:color="008080"/>
              <w:right w:val="single" w:sz="8" w:space="0" w:color="008080"/>
            </w:tcBorders>
            <w:tcMar>
              <w:top w:w="0" w:type="dxa"/>
              <w:left w:w="108" w:type="dxa"/>
              <w:bottom w:w="0" w:type="dxa"/>
              <w:right w:w="108" w:type="dxa"/>
            </w:tcMar>
          </w:tcPr>
          <w:p w:rsidR="008E43AE" w:rsidRDefault="008E43AE"/>
        </w:tc>
        <w:tc>
          <w:tcPr>
            <w:tcW w:w="1905" w:type="pct"/>
            <w:tcBorders>
              <w:top w:val="nil"/>
              <w:left w:val="nil"/>
              <w:bottom w:val="single" w:sz="8" w:space="0" w:color="008080"/>
              <w:right w:val="single" w:sz="8" w:space="0" w:color="008080"/>
            </w:tcBorders>
            <w:tcMar>
              <w:top w:w="0" w:type="dxa"/>
              <w:left w:w="108" w:type="dxa"/>
              <w:bottom w:w="0" w:type="dxa"/>
              <w:right w:w="108" w:type="dxa"/>
            </w:tcMar>
          </w:tcPr>
          <w:p w:rsidR="008E43AE" w:rsidRDefault="008E43AE"/>
        </w:tc>
      </w:tr>
      <w:tr w:rsidR="008E43AE" w:rsidTr="008E43AE">
        <w:trPr>
          <w:trHeight w:val="328"/>
        </w:trPr>
        <w:tc>
          <w:tcPr>
            <w:tcW w:w="1336" w:type="pct"/>
            <w:tcBorders>
              <w:top w:val="nil"/>
              <w:left w:val="single" w:sz="8" w:space="0" w:color="008080"/>
              <w:bottom w:val="single" w:sz="8" w:space="0" w:color="008080"/>
              <w:right w:val="single" w:sz="8" w:space="0" w:color="008080"/>
            </w:tcBorders>
            <w:tcMar>
              <w:top w:w="0" w:type="dxa"/>
              <w:left w:w="108" w:type="dxa"/>
              <w:bottom w:w="0" w:type="dxa"/>
              <w:right w:w="108" w:type="dxa"/>
            </w:tcMar>
            <w:hideMark/>
          </w:tcPr>
          <w:p w:rsidR="008E43AE" w:rsidRDefault="008E43AE">
            <w:r>
              <w:t>Department of Commerce</w:t>
            </w:r>
          </w:p>
          <w:p w:rsidR="008E43AE" w:rsidRDefault="008E43AE">
            <w:r>
              <w:t>(Consultation)</w:t>
            </w:r>
          </w:p>
          <w:p w:rsidR="008E43AE" w:rsidRDefault="008E43AE"/>
          <w:p w:rsidR="008E43AE" w:rsidRDefault="008E43AE"/>
        </w:tc>
        <w:tc>
          <w:tcPr>
            <w:tcW w:w="1759" w:type="pct"/>
            <w:tcBorders>
              <w:top w:val="nil"/>
              <w:left w:val="nil"/>
              <w:bottom w:val="single" w:sz="8" w:space="0" w:color="008080"/>
              <w:right w:val="single" w:sz="8" w:space="0" w:color="008080"/>
            </w:tcBorders>
            <w:tcMar>
              <w:top w:w="0" w:type="dxa"/>
              <w:left w:w="108" w:type="dxa"/>
              <w:bottom w:w="0" w:type="dxa"/>
              <w:right w:w="108" w:type="dxa"/>
            </w:tcMar>
          </w:tcPr>
          <w:p w:rsidR="008E43AE" w:rsidRDefault="008E43AE"/>
        </w:tc>
        <w:tc>
          <w:tcPr>
            <w:tcW w:w="1905" w:type="pct"/>
            <w:tcBorders>
              <w:top w:val="nil"/>
              <w:left w:val="nil"/>
              <w:bottom w:val="single" w:sz="8" w:space="0" w:color="008080"/>
              <w:right w:val="single" w:sz="8" w:space="0" w:color="008080"/>
            </w:tcBorders>
            <w:tcMar>
              <w:top w:w="0" w:type="dxa"/>
              <w:left w:w="108" w:type="dxa"/>
              <w:bottom w:w="0" w:type="dxa"/>
              <w:right w:w="108" w:type="dxa"/>
            </w:tcMar>
          </w:tcPr>
          <w:p w:rsidR="008E43AE" w:rsidRDefault="008E43AE"/>
        </w:tc>
      </w:tr>
      <w:tr w:rsidR="008E43AE" w:rsidTr="008E43AE">
        <w:trPr>
          <w:trHeight w:val="328"/>
        </w:trPr>
        <w:tc>
          <w:tcPr>
            <w:tcW w:w="1336" w:type="pct"/>
            <w:tcBorders>
              <w:top w:val="nil"/>
              <w:left w:val="single" w:sz="8" w:space="0" w:color="008080"/>
              <w:bottom w:val="single" w:sz="8" w:space="0" w:color="008080"/>
              <w:right w:val="single" w:sz="8" w:space="0" w:color="008080"/>
            </w:tcBorders>
            <w:tcMar>
              <w:top w:w="0" w:type="dxa"/>
              <w:left w:w="108" w:type="dxa"/>
              <w:bottom w:w="0" w:type="dxa"/>
              <w:right w:w="108" w:type="dxa"/>
            </w:tcMar>
          </w:tcPr>
          <w:p w:rsidR="008E43AE" w:rsidRDefault="008E43AE"/>
          <w:p w:rsidR="008E43AE" w:rsidRDefault="008E43AE"/>
          <w:p w:rsidR="008E43AE" w:rsidRDefault="008E43AE"/>
          <w:p w:rsidR="008E43AE" w:rsidRDefault="008E43AE"/>
        </w:tc>
        <w:tc>
          <w:tcPr>
            <w:tcW w:w="1759" w:type="pct"/>
            <w:tcBorders>
              <w:top w:val="nil"/>
              <w:left w:val="nil"/>
              <w:bottom w:val="single" w:sz="8" w:space="0" w:color="008080"/>
              <w:right w:val="single" w:sz="8" w:space="0" w:color="008080"/>
            </w:tcBorders>
            <w:tcMar>
              <w:top w:w="0" w:type="dxa"/>
              <w:left w:w="108" w:type="dxa"/>
              <w:bottom w:w="0" w:type="dxa"/>
              <w:right w:w="108" w:type="dxa"/>
            </w:tcMar>
          </w:tcPr>
          <w:p w:rsidR="008E43AE" w:rsidRDefault="008E43AE"/>
        </w:tc>
        <w:tc>
          <w:tcPr>
            <w:tcW w:w="1905" w:type="pct"/>
            <w:tcBorders>
              <w:top w:val="nil"/>
              <w:left w:val="nil"/>
              <w:bottom w:val="single" w:sz="8" w:space="0" w:color="008080"/>
              <w:right w:val="single" w:sz="8" w:space="0" w:color="008080"/>
            </w:tcBorders>
            <w:tcMar>
              <w:top w:w="0" w:type="dxa"/>
              <w:left w:w="108" w:type="dxa"/>
              <w:bottom w:w="0" w:type="dxa"/>
              <w:right w:w="108" w:type="dxa"/>
            </w:tcMar>
          </w:tcPr>
          <w:p w:rsidR="008E43AE" w:rsidRDefault="008E43AE"/>
        </w:tc>
      </w:tr>
    </w:tbl>
    <w:p w:rsidR="008E43AE" w:rsidRDefault="008E43AE" w:rsidP="008E43AE"/>
    <w:p w:rsidR="00AE7EC8" w:rsidRPr="008E43AE" w:rsidRDefault="008E43AE">
      <w:pPr>
        <w:rPr>
          <w:rFonts w:ascii="Calibri" w:hAnsi="Calibri"/>
          <w:sz w:val="22"/>
          <w:szCs w:val="22"/>
        </w:rPr>
      </w:pPr>
    </w:p>
    <w:sectPr w:rsidR="00AE7EC8" w:rsidRPr="008E43AE" w:rsidSect="008E43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53829"/>
    <w:multiLevelType w:val="hybridMultilevel"/>
    <w:tmpl w:val="80D6296C"/>
    <w:lvl w:ilvl="0" w:tplc="6232A84C">
      <w:start w:val="1"/>
      <w:numFmt w:val="bullet"/>
      <w:lvlText w:val=""/>
      <w:lvlJc w:val="left"/>
      <w:pPr>
        <w:ind w:left="720" w:hanging="360"/>
      </w:pPr>
      <w:rPr>
        <w:rFonts w:ascii="Wingdings" w:hAnsi="Wingdings" w:hint="default"/>
        <w:sz w:val="32"/>
      </w:rPr>
    </w:lvl>
    <w:lvl w:ilvl="1" w:tplc="6232A84C">
      <w:start w:val="1"/>
      <w:numFmt w:val="bullet"/>
      <w:lvlText w:val=""/>
      <w:lvlJc w:val="left"/>
      <w:pPr>
        <w:ind w:left="1440" w:hanging="360"/>
      </w:pPr>
      <w:rPr>
        <w:rFonts w:ascii="Wingdings" w:hAnsi="Wingdings" w:hint="default"/>
        <w:sz w:val="3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61A11C4"/>
    <w:multiLevelType w:val="hybridMultilevel"/>
    <w:tmpl w:val="6472D3C2"/>
    <w:lvl w:ilvl="0" w:tplc="E264CB6A">
      <w:start w:val="1"/>
      <w:numFmt w:val="bullet"/>
      <w:lvlText w:val=""/>
      <w:lvlJc w:val="left"/>
      <w:pPr>
        <w:ind w:left="1800" w:hanging="360"/>
      </w:pPr>
      <w:rPr>
        <w:rFonts w:ascii="Wingdings" w:hAnsi="Wingdings" w:hint="default"/>
        <w:sz w:val="32"/>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AE"/>
    <w:rsid w:val="00266212"/>
    <w:rsid w:val="00516DD3"/>
    <w:rsid w:val="00761E6B"/>
    <w:rsid w:val="008E43AE"/>
    <w:rsid w:val="00CE4D95"/>
    <w:rsid w:val="00F22BDD"/>
    <w:rsid w:val="00F37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CC2D3-B001-42B4-BEAD-CBE31164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3AE"/>
  </w:style>
  <w:style w:type="paragraph" w:styleId="Heading2">
    <w:name w:val="heading 2"/>
    <w:basedOn w:val="Normal"/>
    <w:link w:val="Heading2Char"/>
    <w:uiPriority w:val="9"/>
    <w:semiHidden/>
    <w:unhideWhenUsed/>
    <w:qFormat/>
    <w:rsid w:val="008E43AE"/>
    <w:pPr>
      <w:keepNext/>
      <w:ind w:left="810" w:hanging="810"/>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E43AE"/>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41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Goodman, Jodi (ECY)</dc:creator>
  <cp:keywords/>
  <dc:description/>
  <cp:lastModifiedBy>Goodman, Jodi (ECY)</cp:lastModifiedBy>
  <cp:revision>1</cp:revision>
  <dcterms:created xsi:type="dcterms:W3CDTF">2016-12-01T18:10:00Z</dcterms:created>
  <dcterms:modified xsi:type="dcterms:W3CDTF">2016-12-01T18:14:00Z</dcterms:modified>
</cp:coreProperties>
</file>